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宋体"/>
          <w:b/>
          <w:sz w:val="24"/>
          <w:lang w:val="en-US" w:eastAsia="zh-CN"/>
        </w:rPr>
      </w:pPr>
      <w:r>
        <w:rPr>
          <w:b/>
          <w:sz w:val="24"/>
        </w:rPr>
        <w:t>3GPP TSG RAN Meeting #10</w:t>
      </w:r>
      <w:r>
        <w:rPr>
          <w:rFonts w:hint="eastAsia"/>
          <w:b/>
          <w:sz w:val="24"/>
          <w:lang w:val="en-US" w:eastAsia="zh-CN"/>
        </w:rPr>
        <w:t>2</w:t>
      </w:r>
      <w:r>
        <w:rPr>
          <w:b/>
          <w:sz w:val="24"/>
        </w:rPr>
        <w:tab/>
      </w:r>
      <w:r>
        <w:rPr>
          <w:b/>
          <w:sz w:val="24"/>
        </w:rPr>
        <w:t>RP-23</w:t>
      </w:r>
      <w:r>
        <w:rPr>
          <w:rFonts w:hint="eastAsia"/>
          <w:b/>
          <w:sz w:val="24"/>
          <w:lang w:val="en-US" w:eastAsia="zh-CN"/>
        </w:rPr>
        <w:t>2773</w:t>
      </w:r>
    </w:p>
    <w:p>
      <w:pPr>
        <w:pStyle w:val="99"/>
        <w:tabs>
          <w:tab w:val="right" w:pos="9639"/>
        </w:tabs>
        <w:spacing w:after="0"/>
        <w:rPr>
          <w:b/>
          <w:sz w:val="24"/>
        </w:rPr>
      </w:pPr>
      <w:r>
        <w:rPr>
          <w:b/>
          <w:sz w:val="24"/>
          <w:lang w:eastAsia="zh-CN"/>
        </w:rPr>
        <w:t>Edinburgh</w:t>
      </w:r>
      <w:r>
        <w:rPr>
          <w:b/>
          <w:sz w:val="24"/>
        </w:rPr>
        <w:t xml:space="preserve">, GB, </w:t>
      </w:r>
      <w:r>
        <w:rPr>
          <w:rFonts w:hint="eastAsia"/>
          <w:b/>
          <w:sz w:val="24"/>
          <w:lang w:val="en-US" w:eastAsia="zh-CN"/>
        </w:rPr>
        <w:t>11</w:t>
      </w:r>
      <w:r>
        <w:rPr>
          <w:b/>
          <w:sz w:val="24"/>
          <w:vertAlign w:val="superscript"/>
          <w:lang w:val="en-US" w:eastAsia="zh-CN"/>
        </w:rPr>
        <w:t>t</w:t>
      </w:r>
      <w:r>
        <w:rPr>
          <w:rFonts w:hint="eastAsia"/>
          <w:b/>
          <w:sz w:val="24"/>
          <w:vertAlign w:val="superscript"/>
          <w:lang w:val="en-US" w:eastAsia="zh-CN"/>
        </w:rPr>
        <w:t>h</w:t>
      </w:r>
      <w:r>
        <w:rPr>
          <w:b/>
          <w:sz w:val="24"/>
          <w:vertAlign w:val="superscript"/>
          <w:lang w:val="en-US" w:eastAsia="zh-CN"/>
        </w:rPr>
        <w:t xml:space="preserve"> </w:t>
      </w:r>
      <w:r>
        <w:rPr>
          <w:rFonts w:hint="eastAsia"/>
          <w:b/>
          <w:sz w:val="24"/>
          <w:lang w:val="en-US" w:eastAsia="zh-CN"/>
        </w:rPr>
        <w:t>- 15</w:t>
      </w:r>
      <w:r>
        <w:rPr>
          <w:rFonts w:hint="eastAsia"/>
          <w:b/>
          <w:sz w:val="24"/>
          <w:vertAlign w:val="superscript"/>
          <w:lang w:val="en-US" w:eastAsia="zh-CN"/>
        </w:rPr>
        <w:t>th</w:t>
      </w:r>
      <w:r>
        <w:rPr>
          <w:rFonts w:hint="eastAsia"/>
          <w:b/>
          <w:sz w:val="24"/>
          <w:lang w:val="en-US" w:eastAsia="zh-CN"/>
        </w:rPr>
        <w:t xml:space="preserve"> </w:t>
      </w:r>
      <w:r>
        <w:rPr>
          <w:b/>
          <w:sz w:val="24"/>
          <w:lang w:val="en-US" w:eastAsia="zh-CN"/>
        </w:rPr>
        <w:t>Dec,</w:t>
      </w:r>
      <w:r>
        <w:rPr>
          <w:b/>
          <w:sz w:val="24"/>
        </w:rPr>
        <w:t xml:space="preserve"> 2023</w:t>
      </w:r>
    </w:p>
    <w:p>
      <w:pPr>
        <w:pStyle w:val="3"/>
        <w:jc w:val="center"/>
        <w:rPr>
          <w:u w:val="single"/>
        </w:rPr>
      </w:pPr>
      <w:r>
        <w:rPr>
          <w:u w:val="single"/>
        </w:rPr>
        <w:t>Status Report to TSG</w:t>
      </w:r>
    </w:p>
    <w:p>
      <w:pPr>
        <w:tabs>
          <w:tab w:val="left" w:pos="567"/>
        </w:tabs>
        <w:rPr>
          <w:rFonts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13.4.7</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hint="eastAsia" w:ascii="Arial" w:hAnsi="Arial" w:cs="Arial"/>
              </w:rPr>
              <w:t>UE Conformance - High power UE (power class 2) for NR FR1 FDD single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HPUE_NR_FR1_FDD_R18 -UEConTest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val="en-US" w:eastAsia="zh-CN"/>
              </w:rPr>
            </w:pPr>
            <w:r>
              <w:rPr>
                <w:rFonts w:hint="eastAsia" w:ascii="Arial" w:hAnsi="Arial" w:cs="Arial"/>
                <w:lang w:val="en-US" w:eastAsia="zh-CN"/>
              </w:rPr>
              <w:t>1000051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zh-CN"/>
              </w:rPr>
            </w:pPr>
            <w:r>
              <w:rPr>
                <w:rFonts w:ascii="Arial" w:hAnsi="Arial" w:cs="Arial"/>
                <w:lang w:val="en-US" w:eastAsia="zh-CN"/>
              </w:rPr>
              <w:t>RP-2</w:t>
            </w:r>
            <w:r>
              <w:rPr>
                <w:rFonts w:hint="eastAsia" w:ascii="Arial" w:hAnsi="Arial" w:cs="Arial"/>
                <w:lang w:val="en-US" w:eastAsia="zh-CN"/>
              </w:rPr>
              <w:t>30869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w:t>
            </w:r>
            <w:bookmarkStart w:id="0" w:name="_GoBack"/>
            <w:bookmarkEnd w:id="0"/>
            <w:r>
              <w:rPr>
                <w:rFonts w:ascii="Arial" w:hAnsi="Arial" w:cs="Arial"/>
                <w:b/>
              </w:rPr>
              <w:t>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color w:val="00B050"/>
                <w:kern w:val="2"/>
                <w:sz w:val="21"/>
                <w:szCs w:val="22"/>
                <w:lang w:val="en-US" w:eastAsia="zh-CN"/>
              </w:rPr>
            </w:pPr>
            <w:r>
              <w:rPr>
                <w:rFonts w:hint="eastAsia" w:ascii="Arial" w:hAnsi="Arial" w:eastAsia="宋体" w:cs="Arial"/>
                <w:color w:val="00B050"/>
                <w:kern w:val="2"/>
                <w:sz w:val="21"/>
                <w:szCs w:val="22"/>
                <w:lang w:val="en-US" w:eastAsia="zh-CN"/>
              </w:rPr>
              <w:t>06</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4</w:t>
            </w:r>
            <w:r>
              <w:rPr>
                <w:rFonts w:ascii="Arial" w:hAnsi="Arial" w:cs="Arial"/>
                <w:color w:val="00B050"/>
                <w:kern w:val="2"/>
                <w:sz w:val="21"/>
                <w:szCs w:val="22"/>
                <w:lang w:val="en-US" w:eastAsia="ja-JP"/>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lang w:val="en-US" w:eastAsia="zh-CN"/>
              </w:rPr>
              <w:t>5</w:t>
            </w:r>
            <w:r>
              <w:rPr>
                <w:rFonts w:ascii="Arial" w:hAnsi="Arial" w:cs="Arial"/>
                <w:color w:val="00B050"/>
                <w:kern w:val="2"/>
                <w:sz w:val="21"/>
                <w:szCs w:val="22"/>
                <w:lang w:val="en-US" w:eastAsia="ja-JP"/>
              </w:rPr>
              <w:t>%</w:t>
            </w:r>
            <w:r>
              <w:rPr>
                <w:rFonts w:hint="eastAsia" w:ascii="Arial" w:hAnsi="Arial" w:eastAsia="宋体" w:cs="Arial"/>
                <w:color w:val="00B050"/>
                <w:kern w:val="2"/>
                <w:sz w:val="21"/>
                <w:szCs w:val="22"/>
                <w:lang w:val="en-US" w:eastAsia="zh-CN"/>
              </w:rPr>
              <w:t xml:space="preserve"> </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color w:val="000000"/>
                <w:lang w:eastAsia="ja-JP"/>
              </w:rPr>
            </w:pPr>
            <w:r>
              <w:rPr>
                <w:rFonts w:hint="eastAsia" w:ascii="Arial" w:hAnsi="Arial" w:cs="Arial"/>
                <w:color w:val="000000"/>
                <w:lang w:eastAsia="ja-JP"/>
              </w:rPr>
              <w:t>Shi，Yu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cs="Arial"/>
              </w:rPr>
              <w:t>shiyu19@chinaunicom.cn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rPr>
          <w:rFonts w:ascii="Arial" w:hAnsi="Arial" w:cs="Arial"/>
        </w:rPr>
      </w:pPr>
      <w:r>
        <w:rPr>
          <w:rFonts w:hint="eastAsia" w:ascii="Arial" w:hAnsi="Arial" w:cs="Arial"/>
        </w:rPr>
        <w:t>RAN4 status</w:t>
      </w:r>
      <w:r>
        <w:rPr>
          <w:rFonts w:hint="eastAsia" w:ascii="Arial" w:hAnsi="Arial" w:eastAsia="宋体" w:cs="Arial"/>
          <w:lang w:val="en-US" w:eastAsia="zh-CN"/>
        </w:rPr>
        <w:t xml:space="preserve"> are </w:t>
      </w:r>
      <w:r>
        <w:rPr>
          <w:rFonts w:hint="eastAsia" w:ascii="Arial" w:hAnsi="Arial" w:cs="Arial"/>
        </w:rPr>
        <w:t>ongoing,</w:t>
      </w:r>
      <w:r>
        <w:rPr>
          <w:rFonts w:hint="eastAsia" w:ascii="Arial" w:hAnsi="Arial" w:eastAsia="宋体" w:cs="Arial"/>
          <w:lang w:val="en-US" w:eastAsia="zh-CN"/>
        </w:rPr>
        <w:t xml:space="preserve"> </w:t>
      </w:r>
      <w:r>
        <w:rPr>
          <w:rFonts w:hint="eastAsia" w:ascii="Arial" w:hAnsi="Arial" w:cs="Arial"/>
        </w:rPr>
        <w:t xml:space="preserve">RAN5 testing of RAN4 WIs shall only start after the RAN4 WI is completed. </w:t>
      </w:r>
      <w:r>
        <w:rPr>
          <w:rFonts w:ascii="Arial" w:hAnsi="Arial" w:cs="Arial"/>
        </w:rPr>
        <w:t>At RAN5#</w:t>
      </w:r>
      <w:r>
        <w:rPr>
          <w:rFonts w:hint="eastAsia" w:ascii="Arial" w:hAnsi="Arial" w:eastAsia="宋体" w:cs="Arial"/>
          <w:lang w:val="en-US" w:eastAsia="zh-CN"/>
        </w:rPr>
        <w:t>101</w:t>
      </w:r>
      <w:r>
        <w:rPr>
          <w:rFonts w:ascii="Arial" w:hAnsi="Arial" w:cs="Arial"/>
        </w:rPr>
        <w:t xml:space="preserve"> meeting, 4 </w:t>
      </w:r>
      <w:r>
        <w:rPr>
          <w:rFonts w:hint="eastAsia" w:ascii="Arial" w:hAnsi="Arial" w:cs="Arial"/>
          <w:lang w:eastAsia="zh-CN"/>
        </w:rPr>
        <w:t>newly</w:t>
      </w:r>
      <w:r>
        <w:rPr>
          <w:rFonts w:ascii="Arial" w:hAnsi="Arial" w:cs="Arial"/>
          <w:lang w:eastAsia="zh-CN"/>
        </w:rPr>
        <w:t xml:space="preserve"> </w:t>
      </w:r>
      <w:r>
        <w:rPr>
          <w:rFonts w:hint="eastAsia" w:ascii="Arial" w:hAnsi="Arial" w:cs="Arial"/>
          <w:lang w:eastAsia="zh-CN"/>
        </w:rPr>
        <w:t>completed</w:t>
      </w:r>
      <w:r>
        <w:rPr>
          <w:rFonts w:ascii="Arial" w:hAnsi="Arial" w:cs="Arial"/>
          <w:lang w:eastAsia="zh-CN"/>
        </w:rPr>
        <w:t xml:space="preserve"> </w:t>
      </w:r>
      <w:r>
        <w:rPr>
          <w:rFonts w:hint="eastAsia" w:ascii="Arial" w:hAnsi="Arial" w:cs="Arial"/>
          <w:lang w:eastAsia="zh-CN"/>
        </w:rPr>
        <w:t>R4</w:t>
      </w:r>
      <w:r>
        <w:rPr>
          <w:rFonts w:ascii="Arial" w:hAnsi="Arial" w:cs="Arial"/>
          <w:lang w:eastAsia="zh-CN"/>
        </w:rPr>
        <w:t xml:space="preserve"> </w:t>
      </w:r>
      <w:r>
        <w:rPr>
          <w:rFonts w:hint="eastAsia" w:ascii="Arial" w:hAnsi="Arial" w:cs="Arial"/>
          <w:lang w:eastAsia="zh-CN"/>
        </w:rPr>
        <w:t>PC</w:t>
      </w:r>
      <w:r>
        <w:rPr>
          <w:rFonts w:ascii="Arial" w:hAnsi="Arial" w:cs="Arial"/>
          <w:lang w:eastAsia="zh-CN"/>
        </w:rPr>
        <w:t xml:space="preserve">2 </w:t>
      </w:r>
      <w:r>
        <w:rPr>
          <w:rFonts w:hint="eastAsia" w:ascii="Arial" w:hAnsi="Arial" w:cs="Arial"/>
          <w:lang w:eastAsia="zh-CN"/>
        </w:rPr>
        <w:t>configurations</w:t>
      </w:r>
      <w:r>
        <w:rPr>
          <w:rFonts w:ascii="Arial" w:hAnsi="Arial" w:cs="Arial"/>
          <w:lang w:eastAsia="zh-CN"/>
        </w:rPr>
        <w:t xml:space="preserve"> </w:t>
      </w:r>
      <w:r>
        <w:rPr>
          <w:rFonts w:hint="eastAsia" w:ascii="Arial" w:hAnsi="Arial" w:cs="Arial"/>
          <w:lang w:eastAsia="zh-CN"/>
        </w:rPr>
        <w:t>are</w:t>
      </w:r>
      <w:r>
        <w:rPr>
          <w:rFonts w:ascii="Arial" w:hAnsi="Arial" w:cs="Arial"/>
          <w:lang w:eastAsia="zh-CN"/>
        </w:rPr>
        <w:t xml:space="preserve"> </w:t>
      </w:r>
      <w:r>
        <w:rPr>
          <w:rFonts w:hint="eastAsia" w:ascii="Arial" w:hAnsi="Arial" w:cs="Arial"/>
          <w:lang w:eastAsia="zh-CN"/>
        </w:rPr>
        <w:t>added</w:t>
      </w:r>
      <w:r>
        <w:rPr>
          <w:rFonts w:ascii="Arial" w:hAnsi="Arial" w:cs="Arial"/>
          <w:lang w:eastAsia="zh-CN"/>
        </w:rPr>
        <w:t xml:space="preserve"> </w:t>
      </w:r>
      <w:r>
        <w:rPr>
          <w:rFonts w:hint="eastAsia" w:ascii="Arial" w:hAnsi="Arial" w:cs="Arial"/>
          <w:lang w:eastAsia="zh-CN"/>
        </w:rPr>
        <w:t>into</w:t>
      </w:r>
      <w:r>
        <w:rPr>
          <w:rFonts w:ascii="Arial" w:hAnsi="Arial" w:cs="Arial"/>
          <w:lang w:eastAsia="zh-CN"/>
        </w:rPr>
        <w:t xml:space="preserve"> </w:t>
      </w:r>
      <w:r>
        <w:rPr>
          <w:rFonts w:hint="eastAsia" w:ascii="Arial" w:hAnsi="Arial" w:cs="Arial"/>
          <w:lang w:eastAsia="zh-CN"/>
        </w:rPr>
        <w:t>WP</w:t>
      </w:r>
      <w:r>
        <w:rPr>
          <w:rFonts w:ascii="Arial" w:hAnsi="Arial" w:cs="Arial"/>
          <w:lang w:eastAsia="zh-CN"/>
        </w:rPr>
        <w:t xml:space="preserve">, </w:t>
      </w:r>
      <w:r>
        <w:rPr>
          <w:rFonts w:hint="eastAsia" w:ascii="Arial" w:hAnsi="Arial" w:eastAsia="宋体" w:cs="Arial"/>
          <w:lang w:val="en-US" w:eastAsia="zh-CN"/>
        </w:rPr>
        <w:t>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w:t>
      </w:r>
    </w:p>
    <w:p>
      <w:pPr>
        <w:rPr>
          <w:rFonts w:ascii="Arial" w:hAnsi="Arial" w:cs="Arial"/>
          <w:lang w:eastAsia="ja-JP"/>
        </w:rPr>
      </w:pPr>
      <w:r>
        <w:rPr>
          <w:rFonts w:ascii="Arial" w:hAnsi="Arial" w:cs="Arial"/>
        </w:rPr>
        <w:t xml:space="preserve">This WI is estimated to be </w:t>
      </w:r>
      <w:r>
        <w:rPr>
          <w:rFonts w:hint="eastAsia" w:ascii="Arial" w:hAnsi="Arial" w:eastAsia="宋体" w:cs="Arial"/>
          <w:lang w:val="en-US" w:eastAsia="zh-CN"/>
        </w:rPr>
        <w:t>5</w:t>
      </w:r>
      <w:r>
        <w:rPr>
          <w:rFonts w:ascii="Arial" w:hAnsi="Arial" w:cs="Arial"/>
        </w:rPr>
        <w:t>%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ascii="Arial" w:hAnsi="Arial" w:cs="Arial"/>
          <w:bCs/>
        </w:rPr>
        <w:t xml:space="preserve">[1] </w:t>
      </w:r>
      <w:r>
        <w:rPr>
          <w:rFonts w:hint="eastAsia" w:ascii="Arial" w:hAnsi="Arial" w:cs="Arial"/>
          <w:bCs/>
        </w:rPr>
        <w:t>R5-2</w:t>
      </w:r>
      <w:r>
        <w:rPr>
          <w:rFonts w:ascii="Arial" w:hAnsi="Arial" w:cs="Arial"/>
          <w:bCs/>
        </w:rPr>
        <w:t>3</w:t>
      </w:r>
      <w:r>
        <w:rPr>
          <w:rFonts w:hint="eastAsia" w:ascii="Arial" w:hAnsi="Arial" w:eastAsia="宋体" w:cs="Arial"/>
          <w:bCs/>
          <w:lang w:val="en-US" w:eastAsia="zh-CN"/>
        </w:rPr>
        <w:t>6538</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High power UE (power class 2) for NR FR1 FDD single band</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101</w:t>
      </w:r>
    </w:p>
    <w:p>
      <w:pPr>
        <w:tabs>
          <w:tab w:val="left" w:pos="426"/>
          <w:tab w:val="left" w:pos="1701"/>
        </w:tabs>
        <w:overflowPunct/>
        <w:autoSpaceDE/>
        <w:autoSpaceDN/>
        <w:snapToGrid w:val="0"/>
        <w:spacing w:after="0"/>
        <w:ind w:left="1701" w:hanging="1701"/>
        <w:textAlignment w:val="auto"/>
        <w:rPr>
          <w:rFonts w:ascii="Arial" w:hAnsi="Arial" w:cs="Arial"/>
          <w:bCs/>
        </w:rPr>
      </w:pPr>
    </w:p>
    <w:p>
      <w:pPr>
        <w:tabs>
          <w:tab w:val="left" w:pos="567"/>
        </w:tabs>
        <w:snapToGrid w:val="0"/>
        <w:rPr>
          <w:rFonts w:ascii="Arial" w:hAnsi="Arial" w:cs="Arial"/>
          <w:bCs/>
          <w:lang w:val="en-US" w:eastAsia="zh-CN"/>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Wingdings">
    <w:panose1 w:val="05000000000000000000"/>
    <w:charset w:val="00"/>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44F38"/>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475E6C"/>
    <w:rsid w:val="06B82CDA"/>
    <w:rsid w:val="07D5147A"/>
    <w:rsid w:val="090D7CCD"/>
    <w:rsid w:val="10F938A5"/>
    <w:rsid w:val="14885940"/>
    <w:rsid w:val="153168D0"/>
    <w:rsid w:val="1BA90A6D"/>
    <w:rsid w:val="1CC03753"/>
    <w:rsid w:val="20F20B08"/>
    <w:rsid w:val="25A063FE"/>
    <w:rsid w:val="2A540A28"/>
    <w:rsid w:val="2CB223D7"/>
    <w:rsid w:val="351651E2"/>
    <w:rsid w:val="37D75A4A"/>
    <w:rsid w:val="3B537A97"/>
    <w:rsid w:val="42D55B12"/>
    <w:rsid w:val="44426540"/>
    <w:rsid w:val="476405EC"/>
    <w:rsid w:val="4A9614FD"/>
    <w:rsid w:val="4A9D01E6"/>
    <w:rsid w:val="4DF0047D"/>
    <w:rsid w:val="4F6B2CF6"/>
    <w:rsid w:val="5192129A"/>
    <w:rsid w:val="52CC6D8A"/>
    <w:rsid w:val="53A46624"/>
    <w:rsid w:val="547D1CF3"/>
    <w:rsid w:val="55462618"/>
    <w:rsid w:val="5BA078C3"/>
    <w:rsid w:val="687D232C"/>
    <w:rsid w:val="6CF6233D"/>
    <w:rsid w:val="6D495993"/>
    <w:rsid w:val="6D8E0B16"/>
    <w:rsid w:val="6DFFE9EE"/>
    <w:rsid w:val="6E416A91"/>
    <w:rsid w:val="73C5601D"/>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1818</Words>
  <Characters>2909</Characters>
  <Lines>145</Lines>
  <Paragraphs>181</Paragraphs>
  <TotalTime>7</TotalTime>
  <ScaleCrop>false</ScaleCrop>
  <LinksUpToDate>false</LinksUpToDate>
  <CharactersWithSpaces>4546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2023-11-24T06:24:46Z</dcterms:modified>
  <dc:title>Status Report to TSG</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